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კანონი</w:t>
      </w:r>
    </w:p>
    <w:p w:rsidR="002C689B" w:rsidRDefault="002C689B" w:rsidP="00BA1F07">
      <w:pPr>
        <w:spacing w:after="0" w:line="240" w:lineRule="auto"/>
        <w:jc w:val="center"/>
        <w:rPr>
          <w:rFonts w:ascii="Sylfaen" w:hAnsi="Sylfaen"/>
          <w:b/>
          <w:sz w:val="24"/>
          <w:szCs w:val="24"/>
          <w:lang w:val="ka-GE"/>
        </w:rPr>
      </w:pPr>
      <w:r>
        <w:rPr>
          <w:rFonts w:ascii="Sylfaen" w:hAnsi="Sylfaen"/>
          <w:b/>
          <w:sz w:val="24"/>
          <w:szCs w:val="24"/>
          <w:lang w:val="ka-GE"/>
        </w:rPr>
        <w:t>„</w:t>
      </w:r>
      <w:r w:rsidR="00F560F3" w:rsidRPr="00F560F3">
        <w:rPr>
          <w:rFonts w:ascii="Sylfaen" w:hAnsi="Sylfaen"/>
          <w:b/>
          <w:sz w:val="24"/>
          <w:szCs w:val="24"/>
          <w:lang w:val="ka-GE"/>
        </w:rPr>
        <w:t xml:space="preserve">მეწარმეთა შესახებ" საქართველოს კანონში </w:t>
      </w:r>
    </w:p>
    <w:p w:rsidR="00754548" w:rsidRPr="006F15D4" w:rsidRDefault="00F560F3" w:rsidP="00BA1F07">
      <w:pPr>
        <w:spacing w:after="0" w:line="240" w:lineRule="auto"/>
        <w:jc w:val="center"/>
        <w:rPr>
          <w:rFonts w:ascii="Sylfaen" w:hAnsi="Sylfaen"/>
          <w:b/>
          <w:sz w:val="24"/>
          <w:szCs w:val="24"/>
          <w:lang w:val="ka-GE"/>
        </w:rPr>
      </w:pPr>
      <w:r w:rsidRPr="00F560F3">
        <w:rPr>
          <w:rFonts w:ascii="Sylfaen" w:hAnsi="Sylfaen"/>
          <w:b/>
          <w:sz w:val="24"/>
          <w:szCs w:val="24"/>
          <w:lang w:val="ka-GE"/>
        </w:rPr>
        <w:t>ცვლილების შეტანის თაობაზე</w:t>
      </w:r>
    </w:p>
    <w:p w:rsidR="00754548" w:rsidRPr="006F15D4" w:rsidRDefault="00754548" w:rsidP="00BA1F07">
      <w:pPr>
        <w:spacing w:after="0" w:line="240" w:lineRule="auto"/>
        <w:jc w:val="center"/>
        <w:rPr>
          <w:rFonts w:ascii="Sylfaen" w:hAnsi="Sylfaen"/>
          <w:sz w:val="24"/>
          <w:szCs w:val="24"/>
          <w:lang w:val="ka-GE"/>
        </w:rPr>
      </w:pPr>
    </w:p>
    <w:p w:rsidR="00A22241" w:rsidRPr="00A22241" w:rsidRDefault="00754548" w:rsidP="00A22241">
      <w:pPr>
        <w:spacing w:after="0" w:line="240" w:lineRule="auto"/>
        <w:jc w:val="both"/>
        <w:rPr>
          <w:rFonts w:ascii="Sylfaen" w:hAnsi="Sylfaen"/>
          <w:sz w:val="24"/>
          <w:szCs w:val="24"/>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w:t>
      </w:r>
      <w:r w:rsidR="00F560F3">
        <w:rPr>
          <w:rFonts w:ascii="Sylfaen" w:hAnsi="Sylfaen"/>
          <w:sz w:val="24"/>
          <w:szCs w:val="24"/>
          <w:lang w:val="ka-GE"/>
        </w:rPr>
        <w:t>„</w:t>
      </w:r>
      <w:r w:rsidR="00F560F3" w:rsidRPr="00F560F3">
        <w:rPr>
          <w:rFonts w:ascii="Sylfaen" w:hAnsi="Sylfaen"/>
          <w:sz w:val="24"/>
          <w:szCs w:val="24"/>
          <w:lang w:val="ka-GE"/>
        </w:rPr>
        <w:t>მეწარმეთა შესახებ</w:t>
      </w:r>
      <w:r w:rsidR="00F560F3">
        <w:rPr>
          <w:rFonts w:ascii="Sylfaen" w:hAnsi="Sylfaen"/>
          <w:sz w:val="24"/>
          <w:szCs w:val="24"/>
          <w:lang w:val="ka-GE"/>
        </w:rPr>
        <w:t>“</w:t>
      </w:r>
      <w:r w:rsidR="00F560F3" w:rsidRPr="00F560F3">
        <w:rPr>
          <w:rFonts w:ascii="Sylfaen" w:hAnsi="Sylfaen"/>
          <w:sz w:val="24"/>
          <w:szCs w:val="24"/>
          <w:lang w:val="ka-GE"/>
        </w:rPr>
        <w:t xml:space="preserve"> საქართველოს კანონის (საქართველოს პარლამენტის უწყებები, 1994, NN21-22, მუხ. 455)</w:t>
      </w:r>
      <w:r w:rsidR="00F560F3">
        <w:rPr>
          <w:rFonts w:ascii="Sylfaen" w:hAnsi="Sylfaen"/>
          <w:sz w:val="24"/>
          <w:szCs w:val="24"/>
          <w:lang w:val="ka-GE"/>
        </w:rPr>
        <w:t xml:space="preserve"> </w:t>
      </w:r>
      <w:hyperlink r:id="rId7" w:history="1">
        <w:r w:rsidR="00F560F3" w:rsidRPr="00F560F3">
          <w:rPr>
            <w:rFonts w:ascii="Sylfaen" w:hAnsi="Sylfaen"/>
            <w:sz w:val="24"/>
            <w:szCs w:val="24"/>
            <w:lang w:val="ka-GE"/>
          </w:rPr>
          <w:t>მე-9 მუხლის</w:t>
        </w:r>
      </w:hyperlink>
      <w:r w:rsidR="00F560F3" w:rsidRPr="00F560F3">
        <w:rPr>
          <w:rFonts w:ascii="Sylfaen" w:hAnsi="Sylfaen"/>
          <w:sz w:val="24"/>
          <w:szCs w:val="24"/>
          <w:lang w:val="ka-GE"/>
        </w:rPr>
        <w:t> მე-</w:t>
      </w:r>
      <w:r w:rsidR="00F560F3">
        <w:rPr>
          <w:rFonts w:ascii="Sylfaen" w:hAnsi="Sylfaen"/>
          <w:sz w:val="24"/>
          <w:szCs w:val="24"/>
          <w:lang w:val="ka-GE"/>
        </w:rPr>
        <w:t>7</w:t>
      </w:r>
      <w:r w:rsidR="00F560F3" w:rsidRPr="00F560F3">
        <w:rPr>
          <w:rFonts w:ascii="Sylfaen" w:hAnsi="Sylfaen"/>
          <w:sz w:val="24"/>
          <w:szCs w:val="24"/>
          <w:lang w:val="ka-GE"/>
        </w:rPr>
        <w:t>2 პუნქტი ჩამოყალიბდეს შემდეგი რედაქციით:</w:t>
      </w:r>
    </w:p>
    <w:p w:rsidR="00A22241" w:rsidRPr="00F560F3" w:rsidRDefault="00A22241" w:rsidP="00F560F3">
      <w:pPr>
        <w:spacing w:after="0" w:line="240" w:lineRule="auto"/>
        <w:jc w:val="both"/>
        <w:rPr>
          <w:rFonts w:ascii="Sylfaen" w:hAnsi="Sylfaen"/>
          <w:sz w:val="24"/>
          <w:szCs w:val="24"/>
          <w:lang w:val="ka-GE"/>
        </w:rPr>
      </w:pPr>
    </w:p>
    <w:p w:rsidR="00284BD8" w:rsidRPr="00A22241" w:rsidRDefault="00A22241" w:rsidP="00A22241">
      <w:pPr>
        <w:spacing w:after="0" w:line="240" w:lineRule="auto"/>
        <w:jc w:val="both"/>
        <w:rPr>
          <w:rFonts w:ascii="Sylfaen" w:hAnsi="Sylfaen"/>
          <w:sz w:val="24"/>
          <w:szCs w:val="24"/>
          <w:lang w:val="ka-GE"/>
        </w:rPr>
      </w:pPr>
      <w:r w:rsidRPr="00F560F3">
        <w:rPr>
          <w:rFonts w:ascii="Sylfaen" w:hAnsi="Sylfaen"/>
          <w:sz w:val="24"/>
          <w:szCs w:val="24"/>
          <w:lang w:val="ka-GE"/>
        </w:rPr>
        <w:t>„</w:t>
      </w:r>
      <w:r w:rsidR="00F560F3" w:rsidRPr="00F560F3">
        <w:rPr>
          <w:rFonts w:ascii="Sylfaen" w:hAnsi="Sylfaen"/>
          <w:sz w:val="24"/>
          <w:szCs w:val="24"/>
          <w:lang w:val="ka-GE"/>
        </w:rPr>
        <w:t>ამ მუხლის</w:t>
      </w:r>
      <w:r w:rsidR="00F560F3">
        <w:rPr>
          <w:rFonts w:ascii="Sylfaen" w:hAnsi="Sylfaen"/>
          <w:sz w:val="24"/>
          <w:szCs w:val="24"/>
          <w:lang w:val="ka-GE"/>
        </w:rPr>
        <w:t xml:space="preserve"> 7</w:t>
      </w:r>
      <w:r w:rsidR="00F560F3">
        <w:rPr>
          <w:rFonts w:ascii="Sylfaen" w:hAnsi="Sylfaen"/>
          <w:sz w:val="24"/>
          <w:szCs w:val="24"/>
          <w:vertAlign w:val="superscript"/>
          <w:lang w:val="ka-GE"/>
        </w:rPr>
        <w:t>1</w:t>
      </w:r>
      <w:r w:rsidR="00F560F3" w:rsidRPr="00F560F3">
        <w:rPr>
          <w:rFonts w:ascii="Sylfaen" w:hAnsi="Sylfaen"/>
          <w:sz w:val="24"/>
          <w:szCs w:val="24"/>
          <w:lang w:val="ka-GE"/>
        </w:rPr>
        <w:t xml:space="preserve"> პუნქტის "ა" და "ბ" ქვეპუნქტებით გათვალისწინებულ შემთხვევებში მხარეები ვალდებული არიან მარეგისტრირებელი ორგანოსათვის რეგისტრირებული პირის უფლებამოსილების შეწყვეტის შესახებ განცხადების წარდგენამდე გააგზავნონ შეტობინება საქართველოს შრომის კოდექსის </w:t>
      </w:r>
      <w:r w:rsidR="00F560F3">
        <w:rPr>
          <w:rFonts w:ascii="Sylfaen" w:hAnsi="Sylfaen"/>
          <w:sz w:val="24"/>
          <w:szCs w:val="24"/>
          <w:lang w:val="ka-GE"/>
        </w:rPr>
        <w:t>48</w:t>
      </w:r>
      <w:r w:rsidR="00F560F3" w:rsidRPr="00F560F3">
        <w:rPr>
          <w:rFonts w:ascii="Sylfaen" w:hAnsi="Sylfaen"/>
          <w:sz w:val="24"/>
          <w:szCs w:val="24"/>
          <w:lang w:val="ka-GE"/>
        </w:rPr>
        <w:t>-ე მუხლით დადგენილი წესით. ამ წესის დაცვის გარეშე რეგისტრაციის შეწყვეტის შემთხვევაში მიყენებული ზიანისათვის პასუხისმგებლობა განისაზღვრება საქართველოს კანონმდებლობით.</w:t>
      </w:r>
      <w:r w:rsidRPr="00A22241">
        <w:rPr>
          <w:rFonts w:ascii="Sylfaen" w:hAnsi="Sylfaen"/>
          <w:sz w:val="24"/>
          <w:szCs w:val="24"/>
          <w:lang w:val="ka-GE"/>
        </w:rPr>
        <w:t>."</w:t>
      </w:r>
    </w:p>
    <w:p w:rsidR="00BA1F07" w:rsidRPr="006F15D4" w:rsidRDefault="00BA1F07"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r w:rsidRPr="006F15D4">
        <w:rPr>
          <w:rFonts w:ascii="Sylfaen" w:hAnsi="Sylfaen"/>
          <w:b/>
          <w:sz w:val="24"/>
          <w:szCs w:val="24"/>
          <w:lang w:val="ka-GE"/>
        </w:rPr>
        <w:t xml:space="preserve">მუხლი 2. </w:t>
      </w:r>
      <w:r w:rsidRPr="006F15D4">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Default="00A22241" w:rsidP="00BA1F07">
      <w:pPr>
        <w:spacing w:after="0" w:line="240" w:lineRule="auto"/>
        <w:jc w:val="both"/>
        <w:rPr>
          <w:rFonts w:ascii="Sylfaen" w:hAnsi="Sylfaen"/>
          <w:b/>
          <w:sz w:val="24"/>
          <w:szCs w:val="24"/>
          <w:lang w:val="ka-GE"/>
        </w:rPr>
      </w:pPr>
    </w:p>
    <w:p w:rsidR="00A22241" w:rsidRPr="006F15D4" w:rsidRDefault="00A22241"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2C689B" w:rsidRDefault="002C689B" w:rsidP="002C689B">
      <w:pPr>
        <w:spacing w:after="0" w:line="240" w:lineRule="auto"/>
        <w:jc w:val="center"/>
        <w:rPr>
          <w:rFonts w:ascii="Sylfaen" w:hAnsi="Sylfaen"/>
          <w:b/>
          <w:sz w:val="24"/>
          <w:szCs w:val="24"/>
          <w:lang w:val="ka-GE"/>
        </w:rPr>
      </w:pPr>
      <w:r>
        <w:rPr>
          <w:rFonts w:ascii="Sylfaen" w:hAnsi="Sylfaen"/>
          <w:b/>
          <w:sz w:val="24"/>
          <w:szCs w:val="24"/>
          <w:lang w:val="ka-GE"/>
        </w:rPr>
        <w:t>„</w:t>
      </w:r>
      <w:r w:rsidRPr="00F560F3">
        <w:rPr>
          <w:rFonts w:ascii="Sylfaen" w:hAnsi="Sylfaen"/>
          <w:b/>
          <w:sz w:val="24"/>
          <w:szCs w:val="24"/>
          <w:lang w:val="ka-GE"/>
        </w:rPr>
        <w:t xml:space="preserve">მეწარმეთა შესახებ" საქართველოს კანონში </w:t>
      </w:r>
    </w:p>
    <w:p w:rsidR="002C689B" w:rsidRPr="006F15D4" w:rsidRDefault="002C689B" w:rsidP="002C689B">
      <w:pPr>
        <w:spacing w:after="0" w:line="240" w:lineRule="auto"/>
        <w:jc w:val="center"/>
        <w:rPr>
          <w:rFonts w:ascii="Sylfaen" w:hAnsi="Sylfaen"/>
          <w:b/>
          <w:sz w:val="24"/>
          <w:szCs w:val="24"/>
          <w:lang w:val="ka-GE"/>
        </w:rPr>
      </w:pPr>
      <w:r w:rsidRPr="00F560F3">
        <w:rPr>
          <w:rFonts w:ascii="Sylfaen" w:hAnsi="Sylfaen"/>
          <w:b/>
          <w:sz w:val="24"/>
          <w:szCs w:val="24"/>
          <w:lang w:val="ka-GE"/>
        </w:rPr>
        <w:t>ცვლილების შეტანის თაობაზე</w:t>
      </w:r>
    </w:p>
    <w:p w:rsidR="009341F0" w:rsidRPr="006F15D4" w:rsidRDefault="009341F0" w:rsidP="009D2C1D">
      <w:pPr>
        <w:shd w:val="clear" w:color="auto" w:fill="FFFFFF" w:themeFill="background1"/>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w:t>
      </w:r>
      <w:r w:rsidR="004312CB">
        <w:rPr>
          <w:rFonts w:ascii="Sylfaen" w:hAnsi="Sylfaen"/>
          <w:sz w:val="24"/>
          <w:szCs w:val="24"/>
          <w:lang w:val="ka-GE"/>
        </w:rPr>
        <w:t>თი</w:t>
      </w:r>
      <w:r w:rsidRPr="006F15D4">
        <w:rPr>
          <w:rFonts w:ascii="Sylfaen" w:hAnsi="Sylfaen"/>
          <w:sz w:val="24"/>
          <w:szCs w:val="24"/>
          <w:lang w:val="ka-GE"/>
        </w:rPr>
        <w:t xml:space="preserve"> უფლებების და</w:t>
      </w:r>
      <w:r w:rsidR="00A06AE9">
        <w:rPr>
          <w:rFonts w:ascii="Sylfaen" w:hAnsi="Sylfaen"/>
          <w:sz w:val="24"/>
          <w:szCs w:val="24"/>
          <w:lang w:val="ka-GE"/>
        </w:rPr>
        <w:t xml:space="preserve"> შრომის </w:t>
      </w:r>
      <w:r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w:t>
      </w:r>
      <w:r w:rsidRPr="006F15D4">
        <w:rPr>
          <w:rFonts w:ascii="Sylfaen" w:hAnsi="Sylfaen"/>
          <w:sz w:val="24"/>
          <w:szCs w:val="24"/>
          <w:lang w:val="ka-GE"/>
        </w:rPr>
        <w:lastRenderedPageBreak/>
        <w:t>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954602">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w:t>
      </w:r>
      <w:r w:rsidRPr="006F15D4">
        <w:rPr>
          <w:rFonts w:ascii="Sylfaen" w:hAnsi="Sylfaen"/>
          <w:sz w:val="24"/>
          <w:szCs w:val="24"/>
          <w:lang w:val="ka-GE"/>
        </w:rPr>
        <w:lastRenderedPageBreak/>
        <w:t>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 xml:space="preserve">სწორედ </w:t>
      </w:r>
      <w:r w:rsidR="004B5B87">
        <w:rPr>
          <w:rFonts w:ascii="Sylfaen" w:hAnsi="Sylfaen"/>
          <w:sz w:val="24"/>
          <w:szCs w:val="24"/>
          <w:lang w:val="ka-GE"/>
        </w:rPr>
        <w:t>აღნიშნული</w:t>
      </w:r>
      <w:r w:rsidR="00A048BB" w:rsidRPr="006F15D4">
        <w:rPr>
          <w:rFonts w:ascii="Sylfaen" w:hAnsi="Sylfaen"/>
          <w:sz w:val="24"/>
          <w:szCs w:val="24"/>
          <w:lang w:val="ka-GE"/>
        </w:rPr>
        <w:t xml:space="preserve">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F8685C" w:rsidRPr="00F8685C" w:rsidRDefault="00F8685C" w:rsidP="00F8685C">
      <w:pPr>
        <w:spacing w:after="0" w:line="240" w:lineRule="auto"/>
        <w:jc w:val="both"/>
        <w:rPr>
          <w:rFonts w:ascii="Sylfaen" w:hAnsi="Sylfaen"/>
          <w:sz w:val="24"/>
          <w:szCs w:val="24"/>
          <w:lang w:val="ka-GE"/>
        </w:rPr>
      </w:pPr>
      <w:r w:rsidRPr="00F245B1">
        <w:rPr>
          <w:rFonts w:ascii="Sylfaen" w:hAnsi="Sylfaen"/>
          <w:sz w:val="24"/>
          <w:szCs w:val="24"/>
          <w:lang w:val="ka-GE"/>
        </w:rPr>
        <w:t xml:space="preserve">ზემოთ განხილული პრობლემური საკითხები, გამოწვევები და პრაქტიკაში გამოვლენილი ხარვეზები საჭიროებს შესაბამის ნორმატიულ აქტში - კონკრეტულად კი „შრომის კოდექსში“ ცვლილებების განხორციელებას. </w:t>
      </w:r>
      <w:r>
        <w:rPr>
          <w:rFonts w:ascii="Sylfaen" w:hAnsi="Sylfaen"/>
          <w:sz w:val="24"/>
          <w:szCs w:val="24"/>
          <w:lang w:val="ka-GE"/>
        </w:rPr>
        <w:t xml:space="preserve">„შრომის კოდექსში“ ცვლილებების განხორციელება, მათ შორის მოითხოვს ტექნიკური ხასიათის ცვლილებას </w:t>
      </w:r>
      <w:r w:rsidRPr="00F8685C">
        <w:rPr>
          <w:rFonts w:ascii="Sylfaen" w:hAnsi="Sylfaen"/>
          <w:sz w:val="24"/>
          <w:szCs w:val="24"/>
          <w:lang w:val="ka-GE"/>
        </w:rPr>
        <w:t xml:space="preserve">„მეწარმეთა შესახებ" საქართველოს კანონში. </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F8685C" w:rsidP="009341F0">
      <w:pPr>
        <w:spacing w:after="0" w:line="240" w:lineRule="auto"/>
        <w:jc w:val="both"/>
        <w:rPr>
          <w:rFonts w:ascii="Sylfaen" w:hAnsi="Sylfaen"/>
          <w:sz w:val="24"/>
          <w:szCs w:val="24"/>
          <w:lang w:val="ka-GE"/>
        </w:rPr>
      </w:pPr>
      <w:r>
        <w:rPr>
          <w:rFonts w:ascii="Sylfaen" w:hAnsi="Sylfaen" w:cstheme="minorHAnsi"/>
          <w:sz w:val="24"/>
          <w:szCs w:val="24"/>
          <w:lang w:val="ka-GE"/>
        </w:rPr>
        <w:t xml:space="preserve">„შრომის სამართლის რეფორმის პაკეტი“ </w:t>
      </w:r>
      <w:r w:rsidR="009341F0" w:rsidRPr="006F15D4">
        <w:rPr>
          <w:rFonts w:ascii="Sylfaen" w:hAnsi="Sylfaen" w:cstheme="minorHAnsi"/>
          <w:sz w:val="24"/>
          <w:szCs w:val="24"/>
          <w:lang w:val="ka-GE"/>
        </w:rPr>
        <w:t xml:space="preserve">ხელს შეუწყობს, შრომითი უფლებების დაცვის სტანდარტების განვითარებას, დახვეწასა და გაუმჯობესებას. </w:t>
      </w:r>
      <w:r>
        <w:rPr>
          <w:rFonts w:ascii="Sylfaen" w:hAnsi="Sylfaen" w:cstheme="minorHAnsi"/>
          <w:sz w:val="24"/>
          <w:szCs w:val="24"/>
          <w:lang w:val="ka-GE"/>
        </w:rPr>
        <w:t xml:space="preserve">„შრომის სამართლის რეფორმის პაკეტის“ ტექნიკური ნაწილია </w:t>
      </w:r>
      <w:r>
        <w:rPr>
          <w:rFonts w:ascii="Sylfaen" w:hAnsi="Sylfaen"/>
          <w:sz w:val="24"/>
          <w:szCs w:val="24"/>
          <w:lang w:val="ka-GE"/>
        </w:rPr>
        <w:t xml:space="preserve">მათ შორის </w:t>
      </w:r>
      <w:r w:rsidRPr="00F8685C">
        <w:rPr>
          <w:rFonts w:ascii="Sylfaen" w:hAnsi="Sylfaen"/>
          <w:sz w:val="24"/>
          <w:szCs w:val="24"/>
          <w:lang w:val="ka-GE"/>
        </w:rPr>
        <w:t>„მეწარმეთა შესახებ" საქართველოს კანონში</w:t>
      </w:r>
      <w:r>
        <w:rPr>
          <w:rFonts w:ascii="Sylfaen" w:hAnsi="Sylfaen"/>
          <w:sz w:val="24"/>
          <w:szCs w:val="24"/>
          <w:lang w:val="ka-GE"/>
        </w:rPr>
        <w:t xml:space="preserve"> ცვლილება</w:t>
      </w:r>
      <w:r w:rsidRPr="00F8685C">
        <w:rPr>
          <w:rFonts w:ascii="Sylfaen" w:hAnsi="Sylfaen"/>
          <w:sz w:val="24"/>
          <w:szCs w:val="24"/>
          <w:lang w:val="ka-GE"/>
        </w:rPr>
        <w:t xml:space="preserve">. </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t xml:space="preserve">„შრომის სამართლის რეფორმის პაკეტის“ ფარგლებში </w:t>
      </w:r>
      <w:r w:rsidR="00F8685C">
        <w:rPr>
          <w:rFonts w:ascii="Sylfaen" w:hAnsi="Sylfaen"/>
          <w:sz w:val="24"/>
          <w:szCs w:val="24"/>
          <w:lang w:val="ka-GE"/>
        </w:rPr>
        <w:t xml:space="preserve">შრომის კოდექსში ცვლილება გულისხმობს შრომის კოდექსის ახალ ნუმერაციას. შესაბამისად, </w:t>
      </w:r>
      <w:r w:rsidR="00F8685C" w:rsidRPr="00F8685C">
        <w:rPr>
          <w:rFonts w:ascii="Sylfaen" w:hAnsi="Sylfaen"/>
          <w:sz w:val="24"/>
          <w:szCs w:val="24"/>
          <w:lang w:val="ka-GE"/>
        </w:rPr>
        <w:t>„მეწარმეთა შესახებ" საქართველოს კანონში</w:t>
      </w:r>
      <w:r w:rsidR="00F8685C">
        <w:rPr>
          <w:rFonts w:ascii="Sylfaen" w:hAnsi="Sylfaen"/>
          <w:sz w:val="24"/>
          <w:szCs w:val="24"/>
          <w:lang w:val="ka-GE"/>
        </w:rPr>
        <w:t xml:space="preserve"> შრომის კოდექსის კონკრეტულ მუხლზე მითითებისას იცვლება აღნიშნული მუხლის ნუმერაციაც.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ED7136" w:rsidRPr="00F245B1" w:rsidRDefault="00ED7136" w:rsidP="00ED7136">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r>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lastRenderedPageBreak/>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ED7136" w:rsidRPr="00690185" w:rsidRDefault="00ED7136" w:rsidP="00ED7136">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w:t>
      </w:r>
      <w:r>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ED7136" w:rsidRPr="00661908">
        <w:rPr>
          <w:rFonts w:ascii="Sylfaen" w:hAnsi="Sylfaen"/>
          <w:sz w:val="24"/>
          <w:szCs w:val="24"/>
          <w:lang w:val="ka-GE"/>
        </w:rPr>
        <w:t xml:space="preserve">კანონპროექტის მიღება </w:t>
      </w:r>
      <w:r w:rsidR="00ED7136">
        <w:rPr>
          <w:rFonts w:ascii="Sylfaen" w:hAnsi="Sylfaen"/>
          <w:sz w:val="24"/>
          <w:szCs w:val="24"/>
          <w:lang w:val="ka-GE"/>
        </w:rPr>
        <w:t>არ გამომდინარეობს</w:t>
      </w:r>
      <w:r w:rsidR="00ED7136" w:rsidRPr="00661908">
        <w:rPr>
          <w:rFonts w:ascii="Sylfaen" w:hAnsi="Sylfaen"/>
          <w:sz w:val="24"/>
          <w:szCs w:val="24"/>
          <w:lang w:val="ka-GE"/>
        </w:rPr>
        <w:t xml:space="preserve"> ასოცირების შესახებ შეთანხმებ</w:t>
      </w:r>
      <w:r w:rsidR="00ED7136">
        <w:rPr>
          <w:rFonts w:ascii="Sylfaen" w:hAnsi="Sylfaen"/>
          <w:sz w:val="24"/>
          <w:szCs w:val="24"/>
          <w:lang w:val="ka-GE"/>
        </w:rPr>
        <w:t>იდან</w:t>
      </w:r>
      <w:r w:rsidR="00ED7136"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lastRenderedPageBreak/>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1D08C5" w:rsidRPr="00F245B1" w:rsidRDefault="001D08C5" w:rsidP="001D08C5">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1D08C5" w:rsidRPr="00F245B1" w:rsidRDefault="001D08C5" w:rsidP="001D08C5">
      <w:pPr>
        <w:autoSpaceDE w:val="0"/>
        <w:autoSpaceDN w:val="0"/>
        <w:adjustRightInd w:val="0"/>
        <w:spacing w:after="0" w:line="240" w:lineRule="auto"/>
        <w:jc w:val="both"/>
        <w:rPr>
          <w:rFonts w:ascii="Sylfaen" w:hAnsi="Sylfaen"/>
          <w:sz w:val="24"/>
          <w:szCs w:val="24"/>
        </w:rPr>
      </w:pPr>
    </w:p>
    <w:p w:rsidR="001D08C5" w:rsidRPr="00F245B1" w:rsidRDefault="001D08C5" w:rsidP="001D08C5">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1D08C5" w:rsidRDefault="001D08C5"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F62DCB" w:rsidRPr="006F15D4" w:rsidRDefault="00F62DCB" w:rsidP="00F62DCB">
      <w:pPr>
        <w:spacing w:after="0" w:line="240" w:lineRule="auto"/>
        <w:rPr>
          <w:rFonts w:ascii="Sylfaen" w:hAnsi="Sylfaen"/>
          <w:b/>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C6" w:rsidRDefault="001A68C6" w:rsidP="009341F0">
      <w:pPr>
        <w:spacing w:after="0" w:line="240" w:lineRule="auto"/>
      </w:pPr>
      <w:r>
        <w:separator/>
      </w:r>
    </w:p>
  </w:endnote>
  <w:endnote w:type="continuationSeparator" w:id="0">
    <w:p w:rsidR="001A68C6" w:rsidRDefault="001A68C6"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C6" w:rsidRDefault="001A68C6" w:rsidP="009341F0">
      <w:pPr>
        <w:spacing w:after="0" w:line="240" w:lineRule="auto"/>
      </w:pPr>
      <w:r>
        <w:separator/>
      </w:r>
    </w:p>
  </w:footnote>
  <w:footnote w:type="continuationSeparator" w:id="0">
    <w:p w:rsidR="001A68C6" w:rsidRDefault="001A68C6"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r w:rsidR="003E7467">
        <w:fldChar w:fldCharType="begin"/>
      </w:r>
      <w:r w:rsidR="003E7467" w:rsidRPr="00ED7136">
        <w:rPr>
          <w:lang w:val="ka-GE"/>
        </w:rPr>
        <w:instrText>HYPERLINK "https://eeas.europa.eu/sites/eeas/files/annex_ii_-_eu-georgia_association_agenda_text.pdf"</w:instrText>
      </w:r>
      <w:r w:rsidR="003E7467">
        <w:fldChar w:fldCharType="separate"/>
      </w:r>
      <w:r w:rsidRPr="00A048BB">
        <w:rPr>
          <w:rStyle w:val="Hyperlink"/>
          <w:rFonts w:ascii="Sylfaen" w:hAnsi="Sylfaen"/>
          <w:sz w:val="18"/>
          <w:szCs w:val="18"/>
          <w:lang w:val="ka-GE"/>
        </w:rPr>
        <w:t>https://eeas.europa.eu/sites/eeas/files/annex_ii_-_eu-georgia_association_agenda_text.pdf</w:t>
      </w:r>
      <w:r w:rsidR="003E7467">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r w:rsidR="003E7467">
        <w:fldChar w:fldCharType="begin"/>
      </w:r>
      <w:r w:rsidR="003E7467" w:rsidRPr="00ED7136">
        <w:rPr>
          <w:lang w:val="ka-GE"/>
        </w:rPr>
        <w:instrText>HYPERLINK "http://ombudsman.ge/res/docs/2019042620571319466.pdf"</w:instrText>
      </w:r>
      <w:r w:rsidR="003E7467">
        <w:fldChar w:fldCharType="separate"/>
      </w:r>
      <w:r w:rsidRPr="000228CE">
        <w:rPr>
          <w:rStyle w:val="Hyperlink"/>
          <w:rFonts w:ascii="Sylfaen" w:hAnsi="Sylfaen" w:cstheme="minorHAnsi"/>
          <w:lang w:val="ka-GE"/>
        </w:rPr>
        <w:t>http://ombudsman.ge/res/docs/2019042620571319466.pdf</w:t>
      </w:r>
      <w:r w:rsidR="003E7467">
        <w:fldChar w:fldCharType="end"/>
      </w:r>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r w:rsidR="003E7467">
        <w:fldChar w:fldCharType="begin"/>
      </w:r>
      <w:r w:rsidR="003E7467" w:rsidRPr="00ED7136">
        <w:rPr>
          <w:lang w:val="ka-GE"/>
        </w:rPr>
        <w:instrText>HYPERLINK "https://drive.google.com/file/d/1jlujQ6bN40WrlBJFukQx3wv326StelIl/view"</w:instrText>
      </w:r>
      <w:r w:rsidR="003E7467">
        <w:fldChar w:fldCharType="separate"/>
      </w:r>
      <w:r w:rsidRPr="000228CE">
        <w:rPr>
          <w:rStyle w:val="Hyperlink"/>
          <w:rFonts w:ascii="Sylfaen" w:hAnsi="Sylfaen" w:cstheme="minorHAnsi"/>
          <w:lang w:val="ka-GE"/>
        </w:rPr>
        <w:t>https://drive.google.com/file/d/1jlujQ6bN40WrlBJFukQx3wv326StelIl/view</w:t>
      </w:r>
      <w:r w:rsidR="003E7467">
        <w:fldChar w:fldCharType="end"/>
      </w:r>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3E7467">
        <w:fldChar w:fldCharType="begin"/>
      </w:r>
      <w:r w:rsidR="003E7467" w:rsidRPr="00ED7136">
        <w:rPr>
          <w:lang w:val="ka-GE"/>
        </w:rPr>
        <w:instrText>HYPERLINK "https://www.ilo.org/dyn/normlex/en/f?p=1000:11110:0::NO:11110:P11110_COUNTRY_ID,P11110_CONTEXT:102639,SC"</w:instrText>
      </w:r>
      <w:r w:rsidR="003E7467">
        <w:fldChar w:fldCharType="separate"/>
      </w:r>
      <w:r w:rsidRPr="00A048BB">
        <w:rPr>
          <w:rStyle w:val="Hyperlink"/>
          <w:sz w:val="18"/>
          <w:szCs w:val="18"/>
          <w:lang w:val="ka-GE"/>
        </w:rPr>
        <w:t>https://www.ilo.org/dyn/normlex/en/f?p=1000:11110:0::NO:11110:P11110_COUNTRY_ID,P11110_CONTEXT:102639,SC</w:t>
      </w:r>
      <w:r w:rsidR="003E7467">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r w:rsidR="003E7467">
        <w:fldChar w:fldCharType="begin"/>
      </w:r>
      <w:r w:rsidR="003E7467" w:rsidRPr="00ED7136">
        <w:rPr>
          <w:lang w:val="ka-GE"/>
        </w:rPr>
        <w:instrText>HYPERLINK "https://www.state.gov/wp-content/uploads/2019/03/GEORGIA-2018-HUMAN-RIGHTS-REPORT.pdf"</w:instrText>
      </w:r>
      <w:r w:rsidR="003E7467">
        <w:fldChar w:fldCharType="separate"/>
      </w:r>
      <w:r w:rsidRPr="00A048BB">
        <w:rPr>
          <w:rStyle w:val="Hyperlink"/>
          <w:rFonts w:ascii="Sylfaen" w:hAnsi="Sylfaen"/>
          <w:sz w:val="18"/>
          <w:szCs w:val="18"/>
          <w:lang w:val="ka-GE"/>
        </w:rPr>
        <w:t>https://www.state.gov/wp-content/uploads/2019/03/GEORGIA-2018-HUMAN-RIGHTS-REPORT.pdf</w:t>
      </w:r>
      <w:r w:rsidR="003E7467">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r w:rsidR="003E7467">
        <w:fldChar w:fldCharType="begin"/>
      </w:r>
      <w:r w:rsidR="003E7467" w:rsidRPr="00ED7136">
        <w:rPr>
          <w:lang w:val="ka-GE"/>
        </w:rPr>
        <w:instrText>HYPERLINK "https://www.ohchr.org/EN/NewsEvents/Pages/DisplayNews.aspx?NewsID=24474&amp;LangID=E"</w:instrText>
      </w:r>
      <w:r w:rsidR="003E7467">
        <w:fldChar w:fldCharType="separate"/>
      </w:r>
      <w:r w:rsidRPr="00A048BB">
        <w:rPr>
          <w:rStyle w:val="Hyperlink"/>
          <w:rFonts w:ascii="Sylfaen" w:hAnsi="Sylfaen"/>
          <w:sz w:val="18"/>
          <w:szCs w:val="18"/>
          <w:lang w:val="ka-GE"/>
        </w:rPr>
        <w:t>https://www.ohchr.org/EN/NewsEvents/Pages/DisplayNews.aspx?NewsID=24474&amp;LangID=E</w:t>
      </w:r>
      <w:r w:rsidR="003E7467">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10318D"/>
    <w:rsid w:val="00150BE3"/>
    <w:rsid w:val="00191BE0"/>
    <w:rsid w:val="001A68C6"/>
    <w:rsid w:val="001B4B29"/>
    <w:rsid w:val="001C591C"/>
    <w:rsid w:val="001D08C5"/>
    <w:rsid w:val="00203A1B"/>
    <w:rsid w:val="00234BB2"/>
    <w:rsid w:val="002375B7"/>
    <w:rsid w:val="00253B3B"/>
    <w:rsid w:val="002673AF"/>
    <w:rsid w:val="002735A7"/>
    <w:rsid w:val="00284BD8"/>
    <w:rsid w:val="002C689B"/>
    <w:rsid w:val="002D0BD0"/>
    <w:rsid w:val="00320186"/>
    <w:rsid w:val="00387DFD"/>
    <w:rsid w:val="003A148E"/>
    <w:rsid w:val="003A2EE8"/>
    <w:rsid w:val="003E7467"/>
    <w:rsid w:val="004312CB"/>
    <w:rsid w:val="00437569"/>
    <w:rsid w:val="00437C8D"/>
    <w:rsid w:val="004B5B87"/>
    <w:rsid w:val="004E5468"/>
    <w:rsid w:val="00521E2D"/>
    <w:rsid w:val="00532110"/>
    <w:rsid w:val="005525E4"/>
    <w:rsid w:val="0055448F"/>
    <w:rsid w:val="005877DE"/>
    <w:rsid w:val="005A1E02"/>
    <w:rsid w:val="005E2DB1"/>
    <w:rsid w:val="005F02B1"/>
    <w:rsid w:val="006307F0"/>
    <w:rsid w:val="00645CBB"/>
    <w:rsid w:val="006E2776"/>
    <w:rsid w:val="006F15D4"/>
    <w:rsid w:val="00740FFA"/>
    <w:rsid w:val="00754548"/>
    <w:rsid w:val="00782D03"/>
    <w:rsid w:val="007B36E5"/>
    <w:rsid w:val="007E5FBB"/>
    <w:rsid w:val="00840EC8"/>
    <w:rsid w:val="00866107"/>
    <w:rsid w:val="00892ED5"/>
    <w:rsid w:val="0089729E"/>
    <w:rsid w:val="008E07BA"/>
    <w:rsid w:val="00911CE5"/>
    <w:rsid w:val="00916536"/>
    <w:rsid w:val="009341F0"/>
    <w:rsid w:val="00954602"/>
    <w:rsid w:val="009770A2"/>
    <w:rsid w:val="009D2C1D"/>
    <w:rsid w:val="00A048BB"/>
    <w:rsid w:val="00A06AE9"/>
    <w:rsid w:val="00A16D79"/>
    <w:rsid w:val="00A20C54"/>
    <w:rsid w:val="00A21382"/>
    <w:rsid w:val="00A22241"/>
    <w:rsid w:val="00A23543"/>
    <w:rsid w:val="00A44B0A"/>
    <w:rsid w:val="00AA6279"/>
    <w:rsid w:val="00AC79F4"/>
    <w:rsid w:val="00AD3E02"/>
    <w:rsid w:val="00B20526"/>
    <w:rsid w:val="00B66E6B"/>
    <w:rsid w:val="00B80CC4"/>
    <w:rsid w:val="00BA1F07"/>
    <w:rsid w:val="00BA7032"/>
    <w:rsid w:val="00BE1A11"/>
    <w:rsid w:val="00C145B9"/>
    <w:rsid w:val="00C14FD6"/>
    <w:rsid w:val="00CA12C1"/>
    <w:rsid w:val="00CC4C33"/>
    <w:rsid w:val="00D026F4"/>
    <w:rsid w:val="00D76475"/>
    <w:rsid w:val="00DF7DC2"/>
    <w:rsid w:val="00E54F1C"/>
    <w:rsid w:val="00E5617E"/>
    <w:rsid w:val="00ED7136"/>
    <w:rsid w:val="00EE63CE"/>
    <w:rsid w:val="00EF6B86"/>
    <w:rsid w:val="00F052E8"/>
    <w:rsid w:val="00F248F8"/>
    <w:rsid w:val="00F53029"/>
    <w:rsid w:val="00F560F3"/>
    <w:rsid w:val="00F62DCB"/>
    <w:rsid w:val="00F73380"/>
    <w:rsid w:val="00F8685C"/>
    <w:rsid w:val="00FC1A09"/>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gss.ge/GSSCode/Document?command=displaycommand&amp;displaymode=auto&amp;currentstate=0&amp;date=01072017&amp;baseid=21405&amp;itemid=21415&amp;modifierid=480534&amp;info=c0c19e3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s://matsne.gov.ge/ka/document/view/2496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15F4-7ACB-479C-A09B-9933A036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2020-03-11T14:16:00Z</dcterms:modified>
</cp:coreProperties>
</file>